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433F" w:rsidRDefault="00000000">
      <w:pPr>
        <w:pStyle w:val="Title"/>
        <w:spacing w:after="40" w:line="259" w:lineRule="auto"/>
        <w:jc w:val="center"/>
      </w:pPr>
      <w:r>
        <w:t>Ming Tan</w:t>
      </w:r>
    </w:p>
    <w:p w:rsidR="001A433F" w:rsidRDefault="00000000">
      <w:pPr>
        <w:pStyle w:val="Subtitle"/>
        <w:spacing w:line="259" w:lineRule="auto"/>
        <w:jc w:val="center"/>
      </w:pPr>
      <w:r>
        <w:t>Aspiring GRC Analyst | APS-Focused Cybersecurity, Risk &amp; Compliance Profile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312"/>
      </w:tblGrid>
      <w:tr w:rsidR="001A433F">
        <w:trPr>
          <w:jc w:val="center"/>
        </w:trPr>
        <w:tc>
          <w:tcPr>
            <w:tcW w:w="10312" w:type="dxa"/>
            <w:shd w:val="clear" w:color="auto" w:fill="F4F7FB"/>
            <w:tcMar>
              <w:top w:w="120" w:type="dxa"/>
              <w:left w:w="140" w:type="dxa"/>
              <w:bottom w:w="120" w:type="dxa"/>
              <w:right w:w="140" w:type="dxa"/>
            </w:tcMar>
          </w:tcPr>
          <w:p w:rsidR="001A433F" w:rsidRDefault="00000000">
            <w:pPr>
              <w:pStyle w:val="SmallBody"/>
              <w:spacing w:after="0" w:line="264" w:lineRule="auto"/>
            </w:pPr>
            <w:r>
              <w:t xml:space="preserve">Graduate cybersecurity candidate with a Distinction WAM and practical experience across governance, risk and compliance deliverables. Completed a professional ISO/IEC 27001:2022-aligned risk assessment for </w:t>
            </w:r>
            <w:proofErr w:type="spellStart"/>
            <w:r>
              <w:t>Optiver</w:t>
            </w:r>
            <w:proofErr w:type="spellEnd"/>
            <w:r>
              <w:t>, identifying key enterprise risks including phishing, ransomware, insider threat, cloud misconfiguration and third-party compromise, then mapping treatments to Annex A controls. Also developed a Log Analysis &amp; Threat Detection Tool to strengthen understanding of SIEM workflows, incident triage and security monitoring. Brings strong documentation, escalation, process adherence and stakeholder communication skills from customer-facing operational roles, with a clear focus on entry-level APS risk, compliance and cyber governance opportunities.</w:t>
            </w:r>
          </w:p>
        </w:tc>
      </w:tr>
    </w:tbl>
    <w:p w:rsidR="001A433F" w:rsidRDefault="001A433F"/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156"/>
        <w:gridCol w:w="5156"/>
      </w:tblGrid>
      <w:tr w:rsidR="001A433F">
        <w:trPr>
          <w:jc w:val="center"/>
        </w:trPr>
        <w:tc>
          <w:tcPr>
            <w:tcW w:w="5156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1A433F" w:rsidRDefault="001A433F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56"/>
            </w:tblGrid>
            <w:tr w:rsidR="001A433F">
              <w:tc>
                <w:tcPr>
                  <w:tcW w:w="5156" w:type="dxa"/>
                  <w:shd w:val="clear" w:color="auto" w:fill="1F4E78"/>
                  <w:tcMar>
                    <w:top w:w="50" w:type="dxa"/>
                    <w:left w:w="90" w:type="dxa"/>
                    <w:bottom w:w="50" w:type="dxa"/>
                    <w:right w:w="90" w:type="dxa"/>
                  </w:tcMar>
                </w:tcPr>
                <w:p w:rsidR="001A433F" w:rsidRDefault="00000000">
                  <w:pPr>
                    <w:pStyle w:val="SectionHeader"/>
                  </w:pPr>
                  <w:r>
                    <w:t>Core capability areas</w:t>
                  </w:r>
                </w:p>
              </w:tc>
            </w:tr>
          </w:tbl>
          <w:p w:rsidR="001A433F" w:rsidRDefault="001A433F"/>
          <w:p w:rsidR="001A433F" w:rsidRDefault="00000000">
            <w:pPr>
              <w:pStyle w:val="SmallBody"/>
              <w:spacing w:before="40" w:after="40" w:line="252" w:lineRule="auto"/>
            </w:pPr>
            <w:r>
              <w:rPr>
                <w:b/>
              </w:rPr>
              <w:t xml:space="preserve">• Risk &amp; compliance: </w:t>
            </w:r>
            <w:r>
              <w:t>Risk assessment, likelihood/impact analysis, risk matrices, control recommendations</w:t>
            </w:r>
          </w:p>
          <w:p w:rsidR="001A433F" w:rsidRDefault="00000000">
            <w:pPr>
              <w:pStyle w:val="SmallBody"/>
              <w:spacing w:before="40" w:after="40" w:line="252" w:lineRule="auto"/>
            </w:pPr>
            <w:r>
              <w:rPr>
                <w:b/>
              </w:rPr>
              <w:t xml:space="preserve">• Framework knowledge: </w:t>
            </w:r>
            <w:r>
              <w:t>ISO/IEC 27001:2022 familiarity, Annex A alignment, policy and control mapping</w:t>
            </w:r>
          </w:p>
          <w:p w:rsidR="001A433F" w:rsidRDefault="00000000">
            <w:pPr>
              <w:pStyle w:val="SmallBody"/>
              <w:spacing w:before="40" w:after="40" w:line="252" w:lineRule="auto"/>
            </w:pPr>
            <w:r>
              <w:rPr>
                <w:b/>
              </w:rPr>
              <w:t xml:space="preserve">• Governance support: </w:t>
            </w:r>
            <w:r>
              <w:t>Documentation, audit-ready record keeping, procedural adherence, process improvement</w:t>
            </w:r>
          </w:p>
          <w:p w:rsidR="001A433F" w:rsidRDefault="00000000">
            <w:pPr>
              <w:pStyle w:val="SmallBody"/>
              <w:spacing w:before="40" w:after="40" w:line="252" w:lineRule="auto"/>
            </w:pPr>
            <w:r>
              <w:rPr>
                <w:b/>
              </w:rPr>
              <w:t xml:space="preserve">• Technical awareness: </w:t>
            </w:r>
            <w:r>
              <w:t>Active Directory, access control concepts, SIEM exposure, incident triage, endpoint security</w:t>
            </w:r>
          </w:p>
        </w:tc>
        <w:tc>
          <w:tcPr>
            <w:tcW w:w="5156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1A433F" w:rsidRDefault="001A433F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56"/>
            </w:tblGrid>
            <w:tr w:rsidR="001A433F">
              <w:tc>
                <w:tcPr>
                  <w:tcW w:w="5156" w:type="dxa"/>
                  <w:shd w:val="clear" w:color="auto" w:fill="1F4E78"/>
                  <w:tcMar>
                    <w:top w:w="50" w:type="dxa"/>
                    <w:left w:w="90" w:type="dxa"/>
                    <w:bottom w:w="50" w:type="dxa"/>
                    <w:right w:w="90" w:type="dxa"/>
                  </w:tcMar>
                </w:tcPr>
                <w:p w:rsidR="001A433F" w:rsidRDefault="00000000">
                  <w:pPr>
                    <w:pStyle w:val="SectionHeader"/>
                  </w:pPr>
                  <w:r>
                    <w:t>APS alignment</w:t>
                  </w:r>
                </w:p>
              </w:tc>
            </w:tr>
          </w:tbl>
          <w:p w:rsidR="001A433F" w:rsidRDefault="001A433F"/>
          <w:p w:rsidR="001A433F" w:rsidRDefault="00000000">
            <w:pPr>
              <w:pStyle w:val="SmallBody"/>
              <w:spacing w:before="40" w:after="40" w:line="252" w:lineRule="auto"/>
            </w:pPr>
            <w:r>
              <w:rPr>
                <w:b/>
              </w:rPr>
              <w:t xml:space="preserve">• Communication: </w:t>
            </w:r>
            <w:r>
              <w:t>Explains issues clearly, supports staff, documents actions and communicates escalation pathways</w:t>
            </w:r>
          </w:p>
          <w:p w:rsidR="001A433F" w:rsidRDefault="00000000">
            <w:pPr>
              <w:pStyle w:val="SmallBody"/>
              <w:spacing w:before="40" w:after="40" w:line="252" w:lineRule="auto"/>
            </w:pPr>
            <w:r>
              <w:rPr>
                <w:b/>
              </w:rPr>
              <w:t xml:space="preserve">• Judgement: </w:t>
            </w:r>
            <w:r>
              <w:t xml:space="preserve">Assesses incident severity, </w:t>
            </w:r>
            <w:proofErr w:type="spellStart"/>
            <w:r>
              <w:t>prioritises</w:t>
            </w:r>
            <w:proofErr w:type="spellEnd"/>
            <w:r>
              <w:t xml:space="preserve"> actions and follows defined processes</w:t>
            </w:r>
          </w:p>
          <w:p w:rsidR="001A433F" w:rsidRDefault="00000000">
            <w:pPr>
              <w:pStyle w:val="SmallBody"/>
              <w:spacing w:before="40" w:after="40" w:line="252" w:lineRule="auto"/>
            </w:pPr>
            <w:r>
              <w:rPr>
                <w:b/>
              </w:rPr>
              <w:t xml:space="preserve">• Integrity: </w:t>
            </w:r>
            <w:r>
              <w:t>Strong focus on consistency, documentation quality, confidentiality and working within policy</w:t>
            </w:r>
          </w:p>
          <w:p w:rsidR="001A433F" w:rsidRDefault="00000000">
            <w:pPr>
              <w:pStyle w:val="SmallBody"/>
              <w:spacing w:before="40" w:after="40" w:line="252" w:lineRule="auto"/>
            </w:pPr>
            <w:r>
              <w:rPr>
                <w:b/>
              </w:rPr>
              <w:t xml:space="preserve">• Eligibility: </w:t>
            </w:r>
            <w:r>
              <w:t>Australian Citizen</w:t>
            </w:r>
          </w:p>
        </w:tc>
      </w:tr>
    </w:tbl>
    <w:p w:rsidR="001A433F" w:rsidRDefault="001A433F"/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312"/>
      </w:tblGrid>
      <w:tr w:rsidR="001A433F">
        <w:trPr>
          <w:jc w:val="center"/>
        </w:trPr>
        <w:tc>
          <w:tcPr>
            <w:tcW w:w="10312" w:type="dxa"/>
            <w:shd w:val="clear" w:color="auto" w:fill="1F4E78"/>
            <w:tcMar>
              <w:top w:w="50" w:type="dxa"/>
              <w:left w:w="90" w:type="dxa"/>
              <w:bottom w:w="50" w:type="dxa"/>
              <w:right w:w="90" w:type="dxa"/>
            </w:tcMar>
          </w:tcPr>
          <w:p w:rsidR="001A433F" w:rsidRDefault="00000000">
            <w:pPr>
              <w:pStyle w:val="SectionHeader"/>
              <w:spacing w:after="0" w:line="259" w:lineRule="auto"/>
            </w:pPr>
            <w:r>
              <w:t>Relevant projects</w:t>
            </w:r>
          </w:p>
        </w:tc>
      </w:tr>
    </w:tbl>
    <w:p w:rsidR="001A433F" w:rsidRDefault="001A433F"/>
    <w:p w:rsidR="001A433F" w:rsidRDefault="00000000">
      <w:pPr>
        <w:spacing w:after="40" w:line="259" w:lineRule="auto"/>
      </w:pPr>
      <w:r>
        <w:rPr>
          <w:b/>
          <w:sz w:val="22"/>
        </w:rPr>
        <w:t xml:space="preserve">Cybersecurity Risk Assessment - </w:t>
      </w:r>
      <w:proofErr w:type="spellStart"/>
      <w:r>
        <w:rPr>
          <w:b/>
          <w:sz w:val="22"/>
        </w:rPr>
        <w:t>Optiver</w:t>
      </w:r>
      <w:proofErr w:type="spellEnd"/>
      <w:r>
        <w:t xml:space="preserve"> | ISO/IEC 27001:2022 aligned</w:t>
      </w:r>
      <w:r w:rsidR="00893F97">
        <w:t xml:space="preserve"> | 2026</w:t>
      </w:r>
    </w:p>
    <w:p w:rsidR="001A433F" w:rsidRDefault="00000000">
      <w:pPr>
        <w:pStyle w:val="BulletTight"/>
        <w:spacing w:after="20" w:line="250" w:lineRule="auto"/>
        <w:ind w:left="255" w:hanging="198"/>
      </w:pPr>
      <w:r>
        <w:t>• Produced a structured enterprise risk assessment for a global proprietary trading firm, covering business context, asset identification, risk analysis, treatment options and a summary risk matrix.</w:t>
      </w:r>
    </w:p>
    <w:p w:rsidR="001A433F" w:rsidRDefault="00000000">
      <w:pPr>
        <w:pStyle w:val="BulletTight"/>
        <w:spacing w:after="20" w:line="250" w:lineRule="auto"/>
        <w:ind w:left="255" w:hanging="198"/>
      </w:pPr>
      <w:r>
        <w:t>• Identified eight material risks including phishing and social engineering, ransomware, insider threat, trading IP theft, DDoS, supply chain compromise, cloud misconfiguration and weak IAM.</w:t>
      </w:r>
    </w:p>
    <w:p w:rsidR="001A433F" w:rsidRDefault="00000000">
      <w:pPr>
        <w:pStyle w:val="BulletTight"/>
        <w:spacing w:after="20" w:line="250" w:lineRule="auto"/>
        <w:ind w:left="255" w:hanging="198"/>
      </w:pPr>
      <w:r>
        <w:t xml:space="preserve">• Assessed likelihood and impact to </w:t>
      </w:r>
      <w:proofErr w:type="spellStart"/>
      <w:r>
        <w:t>prioritise</w:t>
      </w:r>
      <w:proofErr w:type="spellEnd"/>
      <w:r>
        <w:t xml:space="preserve"> risks, then linked recommended controls to ISO 27001 Annex A domains such as MFA, EDR, PAM, vendor risk governance and cloud security posture management.</w:t>
      </w:r>
    </w:p>
    <w:p w:rsidR="001A433F" w:rsidRDefault="00000000">
      <w:pPr>
        <w:pStyle w:val="BulletTight"/>
        <w:spacing w:after="20" w:line="250" w:lineRule="auto"/>
        <w:ind w:left="255" w:hanging="198"/>
      </w:pPr>
      <w:r>
        <w:t>• Demonstrated strong written analysis and policy-oriented thinking relevant to APS risk, compliance and assurance environments.</w:t>
      </w:r>
    </w:p>
    <w:p w:rsidR="001A433F" w:rsidRDefault="00000000">
      <w:pPr>
        <w:spacing w:after="40" w:line="259" w:lineRule="auto"/>
      </w:pPr>
      <w:r>
        <w:rPr>
          <w:b/>
          <w:sz w:val="22"/>
        </w:rPr>
        <w:t>Log Analysis &amp; Threat Detection Tool</w:t>
      </w:r>
      <w:r w:rsidR="00893F97">
        <w:rPr>
          <w:b/>
          <w:sz w:val="22"/>
        </w:rPr>
        <w:t xml:space="preserve"> | 2026</w:t>
      </w:r>
    </w:p>
    <w:p w:rsidR="001A433F" w:rsidRDefault="00000000">
      <w:pPr>
        <w:pStyle w:val="BulletTight"/>
        <w:spacing w:after="20" w:line="250" w:lineRule="auto"/>
        <w:ind w:left="255" w:hanging="198"/>
      </w:pPr>
      <w:r>
        <w:t xml:space="preserve">• Built a practical security monitoring project focused on </w:t>
      </w:r>
      <w:proofErr w:type="spellStart"/>
      <w:r>
        <w:t>analysing</w:t>
      </w:r>
      <w:proofErr w:type="spellEnd"/>
      <w:r>
        <w:t xml:space="preserve"> logs to detect suspicious activity and support early threat identification.</w:t>
      </w:r>
    </w:p>
    <w:p w:rsidR="001A433F" w:rsidRDefault="00000000">
      <w:pPr>
        <w:pStyle w:val="BulletTight"/>
        <w:spacing w:after="20" w:line="250" w:lineRule="auto"/>
        <w:ind w:left="255" w:hanging="198"/>
      </w:pPr>
      <w:r>
        <w:t>• Worked with log sources and detection concepts commonly used in SIEM environments, strengthening understanding of alert review, triage and escalation.</w:t>
      </w:r>
    </w:p>
    <w:p w:rsidR="001A433F" w:rsidRDefault="00000000">
      <w:pPr>
        <w:pStyle w:val="BulletTight"/>
        <w:spacing w:after="20" w:line="250" w:lineRule="auto"/>
        <w:ind w:left="255" w:hanging="198"/>
      </w:pPr>
      <w:r>
        <w:t>• Reinforced the ability to connect technical observations with broader security risk themes, supporting a well-rounded junior GRC profile.</w:t>
      </w:r>
    </w:p>
    <w:p w:rsidR="001B01E5" w:rsidRDefault="001B01E5">
      <w:pPr>
        <w:pStyle w:val="BulletTight"/>
        <w:spacing w:after="20" w:line="250" w:lineRule="auto"/>
        <w:ind w:left="255" w:hanging="198"/>
      </w:pPr>
    </w:p>
    <w:p w:rsidR="001B01E5" w:rsidRDefault="001B01E5">
      <w:pPr>
        <w:pStyle w:val="BulletTight"/>
        <w:spacing w:after="20" w:line="250" w:lineRule="auto"/>
        <w:ind w:left="255" w:hanging="198"/>
      </w:pPr>
      <w:r>
        <w:t xml:space="preserve">GitHub link: </w:t>
      </w:r>
      <w:hyperlink r:id="rId6" w:history="1">
        <w:r w:rsidRPr="000C46BF">
          <w:rPr>
            <w:rStyle w:val="Hyperlink"/>
          </w:rPr>
          <w:t>https://github.com/catahai/log-analysis-tool.git</w:t>
        </w:r>
      </w:hyperlink>
      <w:r>
        <w:t xml:space="preserve"> </w:t>
      </w:r>
    </w:p>
    <w:p w:rsidR="001A433F" w:rsidRDefault="001A433F"/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312"/>
      </w:tblGrid>
      <w:tr w:rsidR="001A433F">
        <w:trPr>
          <w:jc w:val="center"/>
        </w:trPr>
        <w:tc>
          <w:tcPr>
            <w:tcW w:w="10312" w:type="dxa"/>
            <w:shd w:val="clear" w:color="auto" w:fill="1F4E78"/>
            <w:tcMar>
              <w:top w:w="50" w:type="dxa"/>
              <w:left w:w="90" w:type="dxa"/>
              <w:bottom w:w="50" w:type="dxa"/>
              <w:right w:w="90" w:type="dxa"/>
            </w:tcMar>
          </w:tcPr>
          <w:p w:rsidR="001A433F" w:rsidRDefault="00000000">
            <w:pPr>
              <w:pStyle w:val="SectionHeader"/>
            </w:pPr>
            <w:r>
              <w:lastRenderedPageBreak/>
              <w:t>Professional experience</w:t>
            </w:r>
          </w:p>
        </w:tc>
      </w:tr>
    </w:tbl>
    <w:p w:rsidR="001A433F" w:rsidRDefault="001A433F"/>
    <w:p w:rsidR="001A433F" w:rsidRDefault="00000000">
      <w:pPr>
        <w:spacing w:after="40" w:line="259" w:lineRule="auto"/>
      </w:pPr>
      <w:r>
        <w:rPr>
          <w:b/>
          <w:sz w:val="22"/>
        </w:rPr>
        <w:t>2IC / Assistant Team Leader - ITSM</w:t>
      </w:r>
    </w:p>
    <w:p w:rsidR="001A433F" w:rsidRDefault="00000000">
      <w:pPr>
        <w:pStyle w:val="BulletTight"/>
        <w:spacing w:after="20" w:line="250" w:lineRule="auto"/>
        <w:ind w:left="255" w:hanging="198"/>
      </w:pPr>
      <w:r>
        <w:t>• Acted as a first point of escalation for operational incidents, assessing severity, business impact and the need for further action.</w:t>
      </w:r>
    </w:p>
    <w:p w:rsidR="001A433F" w:rsidRDefault="00000000">
      <w:pPr>
        <w:pStyle w:val="BulletTight"/>
        <w:spacing w:after="20" w:line="250" w:lineRule="auto"/>
        <w:ind w:left="255" w:hanging="198"/>
      </w:pPr>
      <w:r>
        <w:t>• Monitored service queues and supported workload coordination in a high-volume environment, contributing to timely responses and consistent service delivery.</w:t>
      </w:r>
    </w:p>
    <w:p w:rsidR="001A433F" w:rsidRDefault="00000000">
      <w:pPr>
        <w:pStyle w:val="BulletTight"/>
        <w:spacing w:after="20" w:line="250" w:lineRule="auto"/>
        <w:ind w:left="255" w:hanging="198"/>
      </w:pPr>
      <w:r>
        <w:t>• Conducted quality assurance checks and reinforced adherence to internal procedures, supporting operational governance and compliance with expected workflows.</w:t>
      </w:r>
    </w:p>
    <w:p w:rsidR="001A433F" w:rsidRDefault="00000000">
      <w:pPr>
        <w:pStyle w:val="BulletTight"/>
        <w:spacing w:after="20" w:line="250" w:lineRule="auto"/>
        <w:ind w:left="255" w:hanging="198"/>
      </w:pPr>
      <w:r>
        <w:t>• Documented incidents, feedback and process improvements clearly, strengthening traceability and audit readiness.</w:t>
      </w:r>
    </w:p>
    <w:p w:rsidR="001A433F" w:rsidRDefault="00000000">
      <w:pPr>
        <w:pStyle w:val="BulletTight"/>
        <w:spacing w:after="20" w:line="250" w:lineRule="auto"/>
        <w:ind w:left="255" w:hanging="198"/>
      </w:pPr>
      <w:r>
        <w:t>• Supported onboarding and staff guidance, helping embed process consistency and policy awareness across the team.</w:t>
      </w:r>
    </w:p>
    <w:p w:rsidR="001A433F" w:rsidRDefault="00000000">
      <w:pPr>
        <w:spacing w:after="40" w:line="259" w:lineRule="auto"/>
      </w:pPr>
      <w:r>
        <w:rPr>
          <w:b/>
          <w:sz w:val="22"/>
        </w:rPr>
        <w:t>Customer Service Representative - ITSM</w:t>
      </w:r>
    </w:p>
    <w:p w:rsidR="001A433F" w:rsidRDefault="00000000">
      <w:pPr>
        <w:pStyle w:val="BulletTight"/>
        <w:spacing w:after="20" w:line="250" w:lineRule="auto"/>
        <w:ind w:left="255" w:hanging="198"/>
      </w:pPr>
      <w:r>
        <w:t>• Managed customer interactions across chat, email and SMS while maintaining accurate records in internal systems.</w:t>
      </w:r>
    </w:p>
    <w:p w:rsidR="001A433F" w:rsidRDefault="00000000">
      <w:pPr>
        <w:pStyle w:val="BulletTight"/>
        <w:spacing w:after="20" w:line="250" w:lineRule="auto"/>
        <w:ind w:left="255" w:hanging="198"/>
      </w:pPr>
      <w:r>
        <w:t>• Escalated sensitive and complex matters in line with internal procedures, demonstrating sound judgement and process discipline.</w:t>
      </w:r>
    </w:p>
    <w:p w:rsidR="001A433F" w:rsidRDefault="00000000">
      <w:pPr>
        <w:pStyle w:val="BulletTight"/>
        <w:spacing w:after="20" w:line="250" w:lineRule="auto"/>
        <w:ind w:left="255" w:hanging="198"/>
      </w:pPr>
      <w:r>
        <w:t>• Applied clear written communication and record keeping to support consistency, transparency and service continuity.</w:t>
      </w:r>
    </w:p>
    <w:p w:rsidR="001A433F" w:rsidRDefault="001A433F"/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156"/>
        <w:gridCol w:w="5156"/>
      </w:tblGrid>
      <w:tr w:rsidR="001A433F">
        <w:trPr>
          <w:jc w:val="center"/>
        </w:trPr>
        <w:tc>
          <w:tcPr>
            <w:tcW w:w="5156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1A433F" w:rsidRDefault="001A433F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56"/>
            </w:tblGrid>
            <w:tr w:rsidR="001A433F">
              <w:tc>
                <w:tcPr>
                  <w:tcW w:w="5156" w:type="dxa"/>
                  <w:shd w:val="clear" w:color="auto" w:fill="1F4E78"/>
                  <w:tcMar>
                    <w:top w:w="50" w:type="dxa"/>
                    <w:left w:w="90" w:type="dxa"/>
                    <w:bottom w:w="50" w:type="dxa"/>
                    <w:right w:w="90" w:type="dxa"/>
                  </w:tcMar>
                </w:tcPr>
                <w:p w:rsidR="001A433F" w:rsidRDefault="00000000">
                  <w:pPr>
                    <w:pStyle w:val="SectionHeader"/>
                  </w:pPr>
                  <w:r>
                    <w:t>Education</w:t>
                  </w:r>
                </w:p>
              </w:tc>
            </w:tr>
          </w:tbl>
          <w:p w:rsidR="001A433F" w:rsidRDefault="001A433F"/>
          <w:p w:rsidR="001A433F" w:rsidRDefault="00000000">
            <w:pPr>
              <w:pStyle w:val="SmallBody"/>
              <w:spacing w:after="40" w:line="259" w:lineRule="auto"/>
            </w:pPr>
            <w:r>
              <w:rPr>
                <w:b/>
              </w:rPr>
              <w:t>Bachelor of Cybersecurity - Macquarie University</w:t>
            </w:r>
          </w:p>
          <w:p w:rsidR="001A433F" w:rsidRDefault="00000000">
            <w:pPr>
              <w:pStyle w:val="SmallBody"/>
              <w:spacing w:after="40" w:line="259" w:lineRule="auto"/>
            </w:pPr>
            <w:r>
              <w:t>WAM: 76.71 (Distinction)</w:t>
            </w:r>
          </w:p>
          <w:p w:rsidR="001A433F" w:rsidRDefault="00000000">
            <w:pPr>
              <w:pStyle w:val="SmallBody"/>
              <w:spacing w:after="40" w:line="259" w:lineRule="auto"/>
            </w:pPr>
            <w:r>
              <w:t>Further study goal: Master of Information Technology in Cyber Security</w:t>
            </w:r>
          </w:p>
        </w:tc>
        <w:tc>
          <w:tcPr>
            <w:tcW w:w="5156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1A433F" w:rsidRDefault="001A433F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56"/>
            </w:tblGrid>
            <w:tr w:rsidR="001A433F">
              <w:tc>
                <w:tcPr>
                  <w:tcW w:w="5156" w:type="dxa"/>
                  <w:shd w:val="clear" w:color="auto" w:fill="1F4E78"/>
                  <w:tcMar>
                    <w:top w:w="50" w:type="dxa"/>
                    <w:left w:w="90" w:type="dxa"/>
                    <w:bottom w:w="50" w:type="dxa"/>
                    <w:right w:w="90" w:type="dxa"/>
                  </w:tcMar>
                </w:tcPr>
                <w:p w:rsidR="001A433F" w:rsidRDefault="00000000">
                  <w:pPr>
                    <w:pStyle w:val="SectionHeader"/>
                  </w:pPr>
                  <w:r>
                    <w:t>Technical toolkit</w:t>
                  </w:r>
                </w:p>
              </w:tc>
            </w:tr>
          </w:tbl>
          <w:p w:rsidR="001A433F" w:rsidRDefault="001A433F"/>
          <w:p w:rsidR="001A433F" w:rsidRDefault="00000000">
            <w:pPr>
              <w:pStyle w:val="SmallBody"/>
              <w:spacing w:after="20" w:line="250" w:lineRule="auto"/>
            </w:pPr>
            <w:r>
              <w:t>• Windows 10/11 and basic Linux</w:t>
            </w:r>
          </w:p>
          <w:p w:rsidR="001A433F" w:rsidRDefault="00000000">
            <w:pPr>
              <w:pStyle w:val="SmallBody"/>
              <w:spacing w:after="20" w:line="250" w:lineRule="auto"/>
            </w:pPr>
            <w:r>
              <w:t>• Microsoft 365 and Intune familiarity</w:t>
            </w:r>
          </w:p>
          <w:p w:rsidR="001A433F" w:rsidRDefault="00000000">
            <w:pPr>
              <w:pStyle w:val="SmallBody"/>
              <w:spacing w:after="20" w:line="250" w:lineRule="auto"/>
            </w:pPr>
            <w:r>
              <w:t>• TCP/IP, DNS and DHCP fundamentals</w:t>
            </w:r>
          </w:p>
          <w:p w:rsidR="001A433F" w:rsidRDefault="00000000">
            <w:pPr>
              <w:pStyle w:val="SmallBody"/>
              <w:spacing w:after="20" w:line="250" w:lineRule="auto"/>
            </w:pPr>
            <w:r>
              <w:t>• Active Directory user and group management in lab environments</w:t>
            </w:r>
          </w:p>
          <w:p w:rsidR="001A433F" w:rsidRDefault="00000000">
            <w:pPr>
              <w:pStyle w:val="SmallBody"/>
              <w:spacing w:after="20" w:line="250" w:lineRule="auto"/>
            </w:pPr>
            <w:r>
              <w:t>• Incident triage, endpoint awareness and basic security documentation</w:t>
            </w:r>
          </w:p>
        </w:tc>
      </w:tr>
    </w:tbl>
    <w:p w:rsidR="00245ECD" w:rsidRDefault="00245ECD"/>
    <w:sectPr w:rsidR="00245ECD" w:rsidSect="00034616">
      <w:pgSz w:w="12240" w:h="15840"/>
      <w:pgMar w:top="850" w:right="964" w:bottom="850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2287652">
    <w:abstractNumId w:val="8"/>
  </w:num>
  <w:num w:numId="2" w16cid:durableId="1219166612">
    <w:abstractNumId w:val="6"/>
  </w:num>
  <w:num w:numId="3" w16cid:durableId="392315596">
    <w:abstractNumId w:val="5"/>
  </w:num>
  <w:num w:numId="4" w16cid:durableId="1088841768">
    <w:abstractNumId w:val="4"/>
  </w:num>
  <w:num w:numId="5" w16cid:durableId="1200702530">
    <w:abstractNumId w:val="7"/>
  </w:num>
  <w:num w:numId="6" w16cid:durableId="2133595218">
    <w:abstractNumId w:val="3"/>
  </w:num>
  <w:num w:numId="7" w16cid:durableId="843284123">
    <w:abstractNumId w:val="2"/>
  </w:num>
  <w:num w:numId="8" w16cid:durableId="1124275485">
    <w:abstractNumId w:val="1"/>
  </w:num>
  <w:num w:numId="9" w16cid:durableId="102892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433F"/>
    <w:rsid w:val="001B01E5"/>
    <w:rsid w:val="00245ECD"/>
    <w:rsid w:val="0029639D"/>
    <w:rsid w:val="002E5357"/>
    <w:rsid w:val="00326F90"/>
    <w:rsid w:val="004D37E1"/>
    <w:rsid w:val="00893F9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01E312"/>
  <w14:defaultImageDpi w14:val="300"/>
  <w15:docId w15:val="{4D6E62DD-BFB2-EF45-9908-13A78AB5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B365D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5A626E"/>
      <w:spacing w:val="15"/>
      <w:sz w:val="19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ectionHeader">
    <w:name w:val="SectionHeader"/>
    <w:rPr>
      <w:rFonts w:ascii="Aptos" w:hAnsi="Aptos"/>
      <w:b/>
      <w:color w:val="FFFFFF"/>
      <w:sz w:val="21"/>
    </w:rPr>
  </w:style>
  <w:style w:type="paragraph" w:customStyle="1" w:styleId="SmallBody">
    <w:name w:val="SmallBody"/>
    <w:rPr>
      <w:rFonts w:ascii="Aptos" w:hAnsi="Aptos"/>
      <w:sz w:val="19"/>
    </w:rPr>
  </w:style>
  <w:style w:type="paragraph" w:customStyle="1" w:styleId="BulletTight">
    <w:name w:val="BulletTight"/>
    <w:rPr>
      <w:rFonts w:ascii="Aptos" w:hAnsi="Aptos"/>
      <w:sz w:val="20"/>
    </w:rPr>
  </w:style>
  <w:style w:type="character" w:styleId="Hyperlink">
    <w:name w:val="Hyperlink"/>
    <w:basedOn w:val="DefaultParagraphFont"/>
    <w:uiPriority w:val="99"/>
    <w:unhideWhenUsed/>
    <w:rsid w:val="001B01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ithub.com/catahai/log-analysis-tool.g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Ming Tan</cp:lastModifiedBy>
  <cp:revision>3</cp:revision>
  <dcterms:created xsi:type="dcterms:W3CDTF">2013-12-23T23:15:00Z</dcterms:created>
  <dcterms:modified xsi:type="dcterms:W3CDTF">2026-04-23T05:02:00Z</dcterms:modified>
  <cp:category/>
</cp:coreProperties>
</file>